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63" w:rsidRPr="00870F09" w:rsidRDefault="00D16975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96F99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4C3659" w:rsidRPr="00796F99">
        <w:rPr>
          <w:rFonts w:ascii="標楷體" w:eastAsia="標楷體" w:hAnsi="標楷體" w:hint="eastAsia"/>
          <w:b/>
          <w:sz w:val="36"/>
          <w:szCs w:val="36"/>
        </w:rPr>
        <w:t>立中山國民中學</w:t>
      </w:r>
      <w:r w:rsidRPr="00796F99">
        <w:rPr>
          <w:rFonts w:ascii="標楷體" w:eastAsia="標楷體" w:hAnsi="標楷體" w:hint="eastAsia"/>
          <w:b/>
          <w:sz w:val="36"/>
          <w:szCs w:val="36"/>
        </w:rPr>
        <w:t>校長及教師公開授課</w:t>
      </w:r>
      <w:r w:rsidR="0098509F" w:rsidRPr="00796F99">
        <w:rPr>
          <w:rFonts w:ascii="標楷體" w:eastAsia="標楷體" w:hAnsi="標楷體" w:hint="eastAsia"/>
          <w:b/>
          <w:sz w:val="36"/>
          <w:szCs w:val="36"/>
        </w:rPr>
        <w:t>計畫</w:t>
      </w:r>
      <w:r w:rsidR="004C3659" w:rsidRPr="00796F99">
        <w:rPr>
          <w:rFonts w:ascii="標楷體" w:eastAsia="標楷體" w:hAnsi="標楷體" w:hint="eastAsia"/>
          <w:b/>
          <w:szCs w:val="24"/>
        </w:rPr>
        <w:t>1070518</w:t>
      </w:r>
    </w:p>
    <w:p w:rsidR="00EA18D5" w:rsidRPr="00BF3C87" w:rsidRDefault="00EA18D5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  <w:r w:rsidR="00F312DE">
        <w:rPr>
          <w:rFonts w:ascii="標楷體" w:eastAsia="標楷體" w:hAnsi="標楷體"/>
          <w:b/>
          <w:sz w:val="32"/>
          <w:szCs w:val="32"/>
        </w:rPr>
        <w:tab/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日臺教授國部字第1030135678A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105年10月17日臺教國署國字第1050111992號</w:t>
      </w:r>
    </w:p>
    <w:p w:rsidR="00F479E3" w:rsidRPr="00870F09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臺南市(以下簡稱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本市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)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市立現職高級中等以下校長及教師。</w:t>
      </w:r>
    </w:p>
    <w:p w:rsidR="004C3659" w:rsidRPr="00040890" w:rsidRDefault="004C3659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本校106學年度由國教輔導團教師先行參與，107學年度由各領域排定上下學期各一位參與，108學年度各領域教師參加。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授課人員應在服務學校，每學年至少公開授課一次，並以校內教師觀課(以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(附件一)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(一)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課程與教學創新（分組合作學習、學思達、學習共同體、資訊融入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授課人員於公開授課前，應共同規劃；其規劃事項，得包括共同備課、接受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(附件二)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共同備課應於公開授課前，與各教學研究會、年級或年段會議合併辦理；並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授課人員得提出教學活動設計或教學媒體，供觀課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記錄</w:t>
      </w:r>
      <w:r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記錄</w:t>
      </w:r>
      <w:r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表2</w:t>
      </w:r>
      <w:r w:rsidRPr="00870F09">
        <w:rPr>
          <w:rFonts w:ascii="標楷體" w:eastAsia="標楷體" w:hAnsi="標楷體" w:hint="eastAsia"/>
          <w:sz w:val="28"/>
          <w:szCs w:val="28"/>
        </w:rPr>
        <w:t>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記錄</w:t>
      </w:r>
      <w:r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表3</w:t>
      </w:r>
      <w:r w:rsidRPr="00870F09">
        <w:rPr>
          <w:rFonts w:ascii="標楷體" w:eastAsia="標楷體" w:hAnsi="標楷體" w:hint="eastAsia"/>
          <w:sz w:val="28"/>
          <w:szCs w:val="28"/>
        </w:rPr>
        <w:t>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6823A1" w:rsidRPr="00870F09" w:rsidRDefault="00454B4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方式，經各教學研究會、年級或年段會議討論通過後，由相關</w:t>
      </w:r>
    </w:p>
    <w:p w:rsidR="00807097" w:rsidRPr="00870F09" w:rsidRDefault="00807097" w:rsidP="00D81D2E">
      <w:pPr>
        <w:widowControl/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處室彙整，學校據以擬訂</w:t>
      </w:r>
      <w:r w:rsidR="00800FDE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Pr="00870F09">
        <w:rPr>
          <w:rFonts w:ascii="標楷體" w:eastAsia="標楷體" w:hAnsi="標楷體" w:hint="eastAsia"/>
          <w:sz w:val="28"/>
          <w:szCs w:val="28"/>
        </w:rPr>
        <w:t>經課程發展委員會討論通過</w:t>
      </w:r>
      <w:r w:rsidR="00D81D2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70F09">
        <w:rPr>
          <w:rFonts w:ascii="標楷體" w:eastAsia="標楷體" w:hAnsi="標楷體" w:hint="eastAsia"/>
          <w:sz w:val="28"/>
          <w:szCs w:val="28"/>
        </w:rPr>
        <w:t>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，得檢具參與共同備課、接受教學觀察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一、共同備課：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授課人員於公開授課前，與領域教學研究會或專業學習社群進行</w:t>
      </w:r>
    </w:p>
    <w:p w:rsidR="006823A1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落實以學生學習為主體的教學法，需有備課紀錄或影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  <w:r w:rsidR="00AD3C1E" w:rsidRPr="00AD3C1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(附件三)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及觀察焦點等，提供觀課教師掌握觀課重點。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學校得提供觀課教師紀錄表件，以利專業回饋之進行。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r w:rsidR="005022C5" w:rsidRPr="00870F09">
        <w:rPr>
          <w:rFonts w:ascii="標楷體" w:eastAsia="標楷體" w:hAnsi="標楷體" w:hint="eastAsia"/>
          <w:sz w:val="28"/>
          <w:szCs w:val="28"/>
        </w:rPr>
        <w:t>逕依權責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AC09B4" w:rsidRDefault="008A10AC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</w:t>
      </w:r>
      <w:r w:rsidRPr="00870F09">
        <w:rPr>
          <w:rFonts w:ascii="新細明體" w:hAnsi="新細明體" w:hint="eastAsia"/>
          <w:sz w:val="28"/>
          <w:szCs w:val="28"/>
        </w:rPr>
        <w:t>、</w:t>
      </w:r>
      <w:r w:rsidR="00A5701E" w:rsidRPr="00870F09">
        <w:rPr>
          <w:rFonts w:ascii="標楷體" w:eastAsia="標楷體" w:hAnsi="標楷體" w:hint="eastAsia"/>
          <w:sz w:val="28"/>
          <w:szCs w:val="28"/>
        </w:rPr>
        <w:t>彙整各校成果、遭遇問題及解決策略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，</w:t>
      </w:r>
      <w:r w:rsidR="00AC09B4">
        <w:rPr>
          <w:rFonts w:ascii="標楷體" w:eastAsia="標楷體" w:hAnsi="標楷體" w:hint="eastAsia"/>
          <w:sz w:val="28"/>
          <w:szCs w:val="28"/>
        </w:rPr>
        <w:t>作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為本市108學年度落實國中小校長</w:t>
      </w:r>
    </w:p>
    <w:p w:rsidR="008A10AC" w:rsidRPr="00870F09" w:rsidRDefault="00AC09B4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及教師公開授課規劃之參考。</w:t>
      </w:r>
    </w:p>
    <w:p w:rsidR="00230977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</w:t>
      </w:r>
      <w:r w:rsidR="00796F99">
        <w:rPr>
          <w:rFonts w:ascii="標楷體" w:eastAsia="標楷體" w:hAnsi="標楷體" w:hint="eastAsia"/>
          <w:b/>
          <w:sz w:val="32"/>
          <w:szCs w:val="32"/>
        </w:rPr>
        <w:t>校長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DE6BB6" w:rsidRPr="00DE6BB6" w:rsidRDefault="00DE6BB6" w:rsidP="00DE6BB6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臺南市立中山國民中學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DE6BB6">
        <w:rPr>
          <w:rFonts w:ascii="標楷體" w:eastAsia="標楷體" w:hAnsi="標楷體" w:hint="eastAsia"/>
          <w:sz w:val="36"/>
          <w:szCs w:val="36"/>
        </w:rPr>
        <w:t>學年度   公開授課時間表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公開授課者：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     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授 課 班級：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             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科      目：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                    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公開授課日期：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DE6BB6">
        <w:rPr>
          <w:rFonts w:ascii="標楷體" w:eastAsia="標楷體" w:hAnsi="標楷體" w:hint="eastAsia"/>
          <w:sz w:val="36"/>
          <w:szCs w:val="36"/>
        </w:rPr>
        <w:t>年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DE6BB6">
        <w:rPr>
          <w:rFonts w:ascii="標楷體" w:eastAsia="標楷體" w:hAnsi="標楷體" w:hint="eastAsia"/>
          <w:sz w:val="36"/>
          <w:szCs w:val="36"/>
        </w:rPr>
        <w:t>月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日  第 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DE6BB6">
        <w:rPr>
          <w:rFonts w:ascii="標楷體" w:eastAsia="標楷體" w:hAnsi="標楷體" w:hint="eastAsia"/>
          <w:sz w:val="36"/>
          <w:szCs w:val="36"/>
        </w:rPr>
        <w:t xml:space="preserve"> 節</w:t>
      </w:r>
    </w:p>
    <w:p w:rsidR="00DE6BB6" w:rsidRPr="00DE6BB6" w:rsidRDefault="00DE6BB6" w:rsidP="00DE6BB6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E6BB6">
        <w:rPr>
          <w:rFonts w:ascii="標楷體" w:eastAsia="標楷體" w:hAnsi="標楷體" w:hint="eastAsia"/>
          <w:sz w:val="36"/>
          <w:szCs w:val="36"/>
        </w:rPr>
        <w:t>觀課者(最少一人) ：</w:t>
      </w:r>
      <w:r w:rsidRPr="00DE6BB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</w:t>
      </w:r>
    </w:p>
    <w:p w:rsidR="00DE6BB6" w:rsidRPr="00DE6BB6" w:rsidRDefault="00DE6BB6" w:rsidP="00DE6BB6">
      <w:pPr>
        <w:snapToGrid w:val="0"/>
        <w:spacing w:line="360" w:lineRule="auto"/>
        <w:rPr>
          <w:sz w:val="36"/>
          <w:szCs w:val="36"/>
          <w:u w:val="single"/>
        </w:rPr>
      </w:pPr>
      <w:r w:rsidRPr="00DE6BB6">
        <w:rPr>
          <w:rFonts w:hint="eastAsia"/>
          <w:sz w:val="36"/>
          <w:szCs w:val="36"/>
        </w:rPr>
        <w:t xml:space="preserve"> </w:t>
      </w:r>
      <w:r w:rsidRPr="00DE6BB6">
        <w:rPr>
          <w:rFonts w:hint="eastAsia"/>
          <w:sz w:val="36"/>
          <w:szCs w:val="36"/>
          <w:u w:val="single"/>
        </w:rPr>
        <w:t xml:space="preserve">                                                           </w:t>
      </w:r>
    </w:p>
    <w:p w:rsidR="00DE6BB6" w:rsidRPr="00DE6BB6" w:rsidRDefault="00DE6BB6" w:rsidP="00DE6BB6">
      <w:pPr>
        <w:snapToGrid w:val="0"/>
        <w:spacing w:line="360" w:lineRule="auto"/>
        <w:rPr>
          <w:sz w:val="36"/>
          <w:szCs w:val="36"/>
          <w:u w:val="single"/>
        </w:rPr>
      </w:pPr>
      <w:r w:rsidRPr="00DE6BB6">
        <w:rPr>
          <w:rFonts w:hint="eastAsia"/>
          <w:sz w:val="36"/>
          <w:szCs w:val="36"/>
        </w:rPr>
        <w:t xml:space="preserve"> </w:t>
      </w:r>
      <w:r w:rsidRPr="00DE6BB6">
        <w:rPr>
          <w:rFonts w:hint="eastAsia"/>
          <w:sz w:val="36"/>
          <w:szCs w:val="36"/>
          <w:u w:val="single"/>
        </w:rPr>
        <w:t xml:space="preserve">                                                           </w:t>
      </w:r>
    </w:p>
    <w:p w:rsidR="00DE6BB6" w:rsidRDefault="00DE6BB6" w:rsidP="00DE6BB6">
      <w:pPr>
        <w:snapToGrid w:val="0"/>
        <w:spacing w:line="360" w:lineRule="auto"/>
      </w:pPr>
    </w:p>
    <w:p w:rsidR="00DE6BB6" w:rsidRDefault="00DE6BB6" w:rsidP="00DE6BB6">
      <w:pPr>
        <w:snapToGrid w:val="0"/>
        <w:spacing w:line="360" w:lineRule="auto"/>
        <w:rPr>
          <w:rFonts w:hint="eastAsia"/>
        </w:rPr>
      </w:pPr>
    </w:p>
    <w:p w:rsidR="00DE6BB6" w:rsidRPr="002446B8" w:rsidRDefault="00DE6BB6" w:rsidP="00DE6BB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備註：</w:t>
      </w:r>
    </w:p>
    <w:p w:rsidR="00DE6BB6" w:rsidRPr="002446B8" w:rsidRDefault="00DE6BB6" w:rsidP="00DE6BB6">
      <w:pPr>
        <w:pStyle w:val="a3"/>
        <w:numPr>
          <w:ilvl w:val="0"/>
          <w:numId w:val="3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請在開學</w:t>
      </w:r>
      <w:r>
        <w:rPr>
          <w:rFonts w:ascii="標楷體" w:eastAsia="標楷體" w:hAnsi="標楷體" w:hint="eastAsia"/>
          <w:sz w:val="28"/>
          <w:szCs w:val="28"/>
        </w:rPr>
        <w:t>後二週</w:t>
      </w:r>
      <w:r w:rsidRPr="002446B8">
        <w:rPr>
          <w:rFonts w:ascii="標楷體" w:eastAsia="標楷體" w:hAnsi="標楷體" w:hint="eastAsia"/>
          <w:sz w:val="28"/>
          <w:szCs w:val="28"/>
        </w:rPr>
        <w:t>繳交本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2446B8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(附件一)</w:t>
      </w:r>
      <w:r>
        <w:rPr>
          <w:rFonts w:ascii="標楷體" w:eastAsia="標楷體" w:hAnsi="標楷體" w:hint="eastAsia"/>
          <w:sz w:val="28"/>
          <w:szCs w:val="28"/>
        </w:rPr>
        <w:t>，教務處於9月30日公告於學校行事曆</w:t>
      </w:r>
      <w:r w:rsidRPr="002446B8">
        <w:rPr>
          <w:rFonts w:ascii="標楷體" w:eastAsia="標楷體" w:hAnsi="標楷體" w:hint="eastAsia"/>
          <w:sz w:val="28"/>
          <w:szCs w:val="28"/>
        </w:rPr>
        <w:t>。</w:t>
      </w:r>
    </w:p>
    <w:p w:rsidR="00DE6BB6" w:rsidRPr="002446B8" w:rsidRDefault="00DE6BB6" w:rsidP="00DE6BB6">
      <w:pPr>
        <w:pStyle w:val="a3"/>
        <w:numPr>
          <w:ilvl w:val="0"/>
          <w:numId w:val="3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教學者請在公開授課日前，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2446B8">
        <w:rPr>
          <w:rFonts w:ascii="標楷體" w:eastAsia="標楷體" w:hAnsi="標楷體" w:hint="eastAsia"/>
          <w:sz w:val="28"/>
          <w:szCs w:val="28"/>
        </w:rPr>
        <w:t>以下兩份表件：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446B8">
        <w:rPr>
          <w:rFonts w:ascii="標楷體" w:eastAsia="標楷體" w:hAnsi="標楷體" w:hint="eastAsia"/>
          <w:sz w:val="28"/>
          <w:szCs w:val="28"/>
        </w:rPr>
        <w:t>：教學活動設計單(電子檔)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記錄表1：教學觀察(公開授課)- 觀察前會談紀錄表</w:t>
      </w:r>
    </w:p>
    <w:p w:rsidR="00DE6BB6" w:rsidRPr="002446B8" w:rsidRDefault="00DE6BB6" w:rsidP="00DE6BB6">
      <w:pPr>
        <w:pStyle w:val="a3"/>
        <w:numPr>
          <w:ilvl w:val="0"/>
          <w:numId w:val="3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觀課者請在觀課中協助拍照(至少二張)</w:t>
      </w:r>
      <w:r>
        <w:rPr>
          <w:rFonts w:ascii="標楷體" w:eastAsia="標楷體" w:hAnsi="標楷體" w:hint="eastAsia"/>
          <w:sz w:val="28"/>
          <w:szCs w:val="28"/>
        </w:rPr>
        <w:t>或錄影</w:t>
      </w:r>
      <w:r w:rsidRPr="002446B8">
        <w:rPr>
          <w:rFonts w:ascii="標楷體" w:eastAsia="標楷體" w:hAnsi="標楷體" w:hint="eastAsia"/>
          <w:sz w:val="28"/>
          <w:szCs w:val="28"/>
        </w:rPr>
        <w:t>，請在觀課結束後完成以下三份表件：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附件三：活動照片記錄表</w:t>
      </w:r>
      <w:r>
        <w:rPr>
          <w:rFonts w:ascii="標楷體" w:eastAsia="標楷體" w:hAnsi="標楷體" w:hint="eastAsia"/>
          <w:sz w:val="28"/>
          <w:szCs w:val="28"/>
        </w:rPr>
        <w:t>(電子檔)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記錄表2：教學觀察記錄表</w:t>
      </w:r>
    </w:p>
    <w:p w:rsidR="00DE6BB6" w:rsidRPr="002446B8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446B8">
        <w:rPr>
          <w:rFonts w:ascii="標楷體" w:eastAsia="標楷體" w:hAnsi="標楷體" w:hint="eastAsia"/>
          <w:sz w:val="28"/>
          <w:szCs w:val="28"/>
        </w:rPr>
        <w:t>記錄表3：觀察後回饋紀錄表</w:t>
      </w:r>
    </w:p>
    <w:p w:rsidR="00DE6BB6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2446B8">
        <w:rPr>
          <w:rFonts w:ascii="標楷體" w:eastAsia="標楷體" w:hAnsi="標楷體" w:hint="eastAsia"/>
          <w:sz w:val="28"/>
          <w:szCs w:val="28"/>
        </w:rPr>
        <w:t>以上表件請自行由學校首頁\開放文件\行政表單\公開授課計劃資料夾 下載</w:t>
      </w:r>
    </w:p>
    <w:p w:rsidR="00DE6BB6" w:rsidRPr="00E0074F" w:rsidRDefault="00DE6BB6" w:rsidP="00DE6BB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◎完成公開觀課後請將相關資料送回教務處，經審查後通過予以獎勵。</w:t>
      </w: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臺南市立中山國民中學</w:t>
      </w: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</w:t>
      </w: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學年度公開授課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素養導向教學活動設計單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Cs w:val="24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DE6BB6" w:rsidRPr="00DE6BB6" w:rsidTr="00DE6BB6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領域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/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</w:tr>
      <w:tr w:rsidR="00DE6BB6" w:rsidRPr="00DE6BB6" w:rsidTr="00DE6BB6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共</w:t>
            </w: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_______</w:t>
            </w: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節，</w:t>
            </w: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_____</w:t>
            </w:r>
            <w:r w:rsidRPr="00DE6BB6">
              <w:rPr>
                <w:rFonts w:eastAsia="標楷體" w:cs="Calibri"/>
                <w:color w:val="000000"/>
                <w:kern w:val="0"/>
                <w:szCs w:val="24"/>
              </w:rPr>
              <w:t>分鐘</w:t>
            </w:r>
          </w:p>
        </w:tc>
      </w:tr>
      <w:tr w:rsidR="00DE6BB6" w:rsidRPr="00DE6BB6" w:rsidTr="00DE6BB6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</w:tr>
      <w:tr w:rsidR="00DE6BB6" w:rsidRPr="00DE6BB6" w:rsidTr="00DE6BB6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設計依據</w:t>
            </w:r>
          </w:p>
        </w:tc>
      </w:tr>
      <w:tr w:rsidR="00DE6BB6" w:rsidRPr="00DE6BB6" w:rsidTr="00DE6BB6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學習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列出相關的學習表現，且能具體表現在學習目標上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核心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總綱及領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(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課綱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)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核心素養說明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僅列舉出高度相關之領綱核心素養精神與意涵。</w:t>
            </w:r>
          </w:p>
        </w:tc>
      </w:tr>
      <w:tr w:rsidR="00DE6BB6" w:rsidRPr="00DE6BB6" w:rsidTr="00DE6BB6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列出相關的學習內容，且能具體表現在學習目標上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</w:tr>
      <w:tr w:rsidR="00DE6BB6" w:rsidRPr="00DE6BB6" w:rsidTr="00DE6BB6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議題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以總綱十九項議題為考量、並落實議題核心精神，建議列出將融入的議題實質內容。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議題融入不是必要的項目，可視需要再列出。</w:t>
            </w:r>
          </w:p>
        </w:tc>
      </w:tr>
      <w:tr w:rsidR="00DE6BB6" w:rsidRPr="00DE6BB6" w:rsidTr="00DE6BB6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列出示例中融入之學習重點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(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學習表現與學習內容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)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，以及融入說明，建議同時於教學活動設計之備註欄說明。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若有議題融入再列出此欄。</w:t>
            </w:r>
          </w:p>
        </w:tc>
      </w:tr>
      <w:tr w:rsidR="00DE6BB6" w:rsidRPr="00DE6BB6" w:rsidTr="00DE6BB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與其他領域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/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與其他領域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/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科目的連結不是必要的項目，可視需要再列出。</w:t>
            </w:r>
          </w:p>
        </w:tc>
      </w:tr>
      <w:tr w:rsidR="00DE6BB6" w:rsidRPr="00DE6BB6" w:rsidTr="00DE6BB6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</w:tr>
      <w:tr w:rsidR="00DE6BB6" w:rsidRPr="00DE6BB6" w:rsidTr="00DE6BB6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教學設備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/</w:t>
            </w: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</w:tr>
      <w:tr w:rsidR="00DE6BB6" w:rsidRPr="00DE6BB6" w:rsidTr="00DE6BB6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學習目標</w:t>
            </w:r>
          </w:p>
        </w:tc>
      </w:tr>
      <w:tr w:rsidR="00DE6BB6" w:rsidRPr="00DE6BB6" w:rsidTr="00DE6BB6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以淺顯易懂文字說明各單元學習目標。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DE6BB6" w:rsidRPr="00DE6BB6" w:rsidRDefault="00DE6BB6" w:rsidP="00DE6BB6">
            <w:pPr>
              <w:numPr>
                <w:ilvl w:val="0"/>
                <w:numId w:val="32"/>
              </w:num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DE6BB6" w:rsidRPr="00DE6BB6" w:rsidRDefault="00DE6BB6" w:rsidP="00DE6BB6">
      <w:pPr>
        <w:jc w:val="both"/>
        <w:rPr>
          <w:rFonts w:eastAsia="標楷體" w:cs="Calibri"/>
          <w:color w:val="000000"/>
          <w:kern w:val="0"/>
          <w:szCs w:val="24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E6BB6" w:rsidRPr="00DE6BB6" w:rsidTr="00FC7D80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教學活動設計</w:t>
            </w:r>
          </w:p>
        </w:tc>
      </w:tr>
      <w:tr w:rsidR="00DE6BB6" w:rsidRPr="00DE6BB6" w:rsidTr="00FC7D80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DE6BB6" w:rsidRPr="00DE6BB6" w:rsidTr="00FC7D80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摘要學習活動內容即可，呈現合呼素養導向教學的內涵。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教學流程需落實素養導向教學之教材教法，掌握生活情境與實踐等意涵。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可適時列出學習評量的方式，以及其他學習輔助事項，原則如下：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簡要說明各項教學活動評量內容，提出可採行方法、重要過程、規準等。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發展核心素養、學習重點與學習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lastRenderedPageBreak/>
              <w:t>目標三者結合的評量內容。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檢視學習目標、學習重點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/</w:t>
            </w: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活動與評量三者之一致關係。</w:t>
            </w:r>
          </w:p>
          <w:p w:rsidR="00DE6BB6" w:rsidRPr="00DE6BB6" w:rsidRDefault="00DE6BB6" w:rsidP="00DE6BB6">
            <w:pPr>
              <w:numPr>
                <w:ilvl w:val="0"/>
                <w:numId w:val="33"/>
              </w:num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羅列評量工具，如學習單、檢核表或同儕互評表等。</w:t>
            </w:r>
          </w:p>
        </w:tc>
      </w:tr>
      <w:tr w:rsidR="00DE6BB6" w:rsidRPr="00DE6BB6" w:rsidTr="00FC7D80">
        <w:trPr>
          <w:trHeight w:val="605"/>
        </w:trPr>
        <w:tc>
          <w:tcPr>
            <w:tcW w:w="9889" w:type="dxa"/>
            <w:gridSpan w:val="3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lastRenderedPageBreak/>
              <w:t>試教成果：（非必要項目）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DE6BB6" w:rsidRPr="00DE6BB6" w:rsidTr="00FC7D80">
        <w:trPr>
          <w:trHeight w:val="93"/>
        </w:trPr>
        <w:tc>
          <w:tcPr>
            <w:tcW w:w="9889" w:type="dxa"/>
            <w:gridSpan w:val="3"/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參考資料：（若有請列出）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若有參考資料請列出。</w:t>
            </w:r>
          </w:p>
        </w:tc>
      </w:tr>
      <w:tr w:rsidR="00DE6BB6" w:rsidRPr="00DE6BB6" w:rsidTr="00FC7D80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:rsidR="00DE6BB6" w:rsidRPr="00DE6BB6" w:rsidRDefault="00DE6BB6" w:rsidP="00DE6BB6">
            <w:pPr>
              <w:jc w:val="both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DE6BB6">
              <w:rPr>
                <w:rFonts w:eastAsia="標楷體" w:cs="Calibri"/>
                <w:b/>
                <w:color w:val="000000"/>
                <w:kern w:val="0"/>
                <w:szCs w:val="24"/>
              </w:rPr>
              <w:t>附錄：</w:t>
            </w:r>
          </w:p>
          <w:p w:rsidR="00DE6BB6" w:rsidRPr="00DE6BB6" w:rsidRDefault="00DE6BB6" w:rsidP="00DE6BB6">
            <w:pPr>
              <w:jc w:val="both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  <w:r w:rsidRPr="00DE6BB6">
              <w:rPr>
                <w:rFonts w:eastAsia="標楷體" w:cs="Calibri"/>
                <w:color w:val="A6A6A6"/>
                <w:kern w:val="0"/>
                <w:szCs w:val="24"/>
                <w:u w:val="single"/>
              </w:rPr>
              <w:t>列出與此示案有關之補充說明。</w:t>
            </w:r>
          </w:p>
        </w:tc>
      </w:tr>
    </w:tbl>
    <w:p w:rsidR="00DE6BB6" w:rsidRPr="00DE6BB6" w:rsidRDefault="00DE6BB6" w:rsidP="00DE6BB6">
      <w:pPr>
        <w:rPr>
          <w:rFonts w:ascii="Calibri" w:eastAsiaTheme="minorEastAsia" w:hAnsi="Calibri" w:cs="Calibri"/>
          <w:color w:val="000000"/>
          <w:kern w:val="0"/>
          <w:szCs w:val="24"/>
        </w:rPr>
      </w:pPr>
    </w:p>
    <w:p w:rsidR="00DE6BB6" w:rsidRPr="00DE6BB6" w:rsidRDefault="00DE6BB6" w:rsidP="00DE6BB6">
      <w:pPr>
        <w:rPr>
          <w:rFonts w:ascii="Calibri" w:eastAsiaTheme="minorEastAsia" w:hAnsi="Calibri" w:cs="Calibri"/>
          <w:color w:val="000000"/>
          <w:kern w:val="0"/>
          <w:szCs w:val="24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DE6BB6" w:rsidRDefault="00DE6BB6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臺南市立中山國民中學</w:t>
      </w: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</w:t>
      </w: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學年度公開授課</w:t>
      </w:r>
    </w:p>
    <w:p w:rsidR="00DE6BB6" w:rsidRPr="00DE6BB6" w:rsidRDefault="00DE6BB6" w:rsidP="00DE6BB6">
      <w:pPr>
        <w:jc w:val="center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DE6BB6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活動照片記錄表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E6BB6" w:rsidRPr="00DE6BB6" w:rsidTr="00DE6BB6">
        <w:trPr>
          <w:trHeight w:val="5488"/>
        </w:trPr>
        <w:tc>
          <w:tcPr>
            <w:tcW w:w="10173" w:type="dxa"/>
          </w:tcPr>
          <w:p w:rsidR="00DE6BB6" w:rsidRPr="00DE6BB6" w:rsidRDefault="00DE6BB6" w:rsidP="00DE6BB6">
            <w:pPr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DE6BB6" w:rsidRPr="00DE6BB6" w:rsidTr="00DE6BB6">
        <w:trPr>
          <w:trHeight w:val="991"/>
        </w:trPr>
        <w:tc>
          <w:tcPr>
            <w:tcW w:w="10173" w:type="dxa"/>
          </w:tcPr>
          <w:p w:rsidR="00DE6BB6" w:rsidRPr="00DE6BB6" w:rsidRDefault="00DE6BB6" w:rsidP="00DE6BB6">
            <w:pPr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E6BB6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說明:</w:t>
            </w:r>
          </w:p>
        </w:tc>
      </w:tr>
      <w:tr w:rsidR="00DE6BB6" w:rsidRPr="00DE6BB6" w:rsidTr="00DE6BB6">
        <w:trPr>
          <w:trHeight w:val="6066"/>
        </w:trPr>
        <w:tc>
          <w:tcPr>
            <w:tcW w:w="10173" w:type="dxa"/>
          </w:tcPr>
          <w:p w:rsidR="00DE6BB6" w:rsidRPr="00DE6BB6" w:rsidRDefault="00DE6BB6" w:rsidP="00DE6BB6">
            <w:pPr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DE6BB6" w:rsidRPr="00DE6BB6" w:rsidTr="00DE6BB6">
        <w:trPr>
          <w:trHeight w:val="838"/>
        </w:trPr>
        <w:tc>
          <w:tcPr>
            <w:tcW w:w="10173" w:type="dxa"/>
          </w:tcPr>
          <w:p w:rsidR="00DE6BB6" w:rsidRPr="00DE6BB6" w:rsidRDefault="00DE6BB6" w:rsidP="00DE6BB6">
            <w:pPr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E6BB6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說明:</w:t>
            </w:r>
          </w:p>
        </w:tc>
      </w:tr>
    </w:tbl>
    <w:p w:rsidR="00C54861" w:rsidRDefault="00AD3C1E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記錄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85CC3" w:rsidRPr="00E94344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185CC3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85CC3" w:rsidRPr="00E94344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185CC3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85CC3" w:rsidRPr="00E94344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185CC3" w:rsidRPr="00E94344" w:rsidRDefault="00185CC3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F625D8" w:rsidRDefault="00E94344" w:rsidP="00F625D8">
            <w:pPr>
              <w:rPr>
                <w:rFonts w:eastAsia="標楷體"/>
                <w:color w:val="000000"/>
                <w:szCs w:val="24"/>
              </w:rPr>
            </w:pPr>
            <w:r w:rsidRPr="00F625D8">
              <w:rPr>
                <w:rFonts w:eastAsia="標楷體"/>
                <w:color w:val="000000"/>
                <w:szCs w:val="24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F625D8" w:rsidRPr="00E94344" w:rsidRDefault="00F625D8" w:rsidP="00E94344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CD574A" w:rsidRDefault="00AD3C1E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記錄</w:t>
      </w:r>
      <w:r w:rsidR="00CD574A" w:rsidRPr="00CD574A">
        <w:rPr>
          <w:rFonts w:eastAsia="標楷體" w:hint="eastAsia"/>
          <w:b/>
          <w:color w:val="000000"/>
          <w:sz w:val="36"/>
          <w:szCs w:val="36"/>
        </w:rPr>
        <w:t>表</w:t>
      </w:r>
      <w:r w:rsidR="00CD574A"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905"/>
        <w:gridCol w:w="3195"/>
        <w:gridCol w:w="569"/>
        <w:gridCol w:w="621"/>
        <w:gridCol w:w="675"/>
      </w:tblGrid>
      <w:tr w:rsidR="00AA54F4" w:rsidRPr="00AA54F4" w:rsidTr="00796F99">
        <w:trPr>
          <w:cantSplit/>
          <w:trHeight w:val="235"/>
          <w:tblHeader/>
        </w:trPr>
        <w:tc>
          <w:tcPr>
            <w:tcW w:w="5000" w:type="pct"/>
            <w:gridSpan w:val="6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="00AC7AF5" w:rsidRPr="00AA54F4">
              <w:rPr>
                <w:rFonts w:eastAsia="標楷體"/>
                <w:sz w:val="28"/>
                <w:szCs w:val="28"/>
              </w:rPr>
              <w:t>_______</w:t>
            </w:r>
            <w:r w:rsidRPr="00AA54F4">
              <w:rPr>
                <w:rFonts w:eastAsia="標楷體"/>
                <w:sz w:val="28"/>
                <w:szCs w:val="28"/>
              </w:rPr>
              <w:t>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="00AC7AF5" w:rsidRPr="00AA54F4">
              <w:rPr>
                <w:rFonts w:eastAsia="標楷體"/>
                <w:sz w:val="28"/>
                <w:szCs w:val="28"/>
              </w:rPr>
              <w:t>_______</w:t>
            </w:r>
            <w:r w:rsidRPr="00AA54F4">
              <w:rPr>
                <w:rFonts w:eastAsia="標楷體"/>
                <w:sz w:val="28"/>
                <w:szCs w:val="28"/>
              </w:rPr>
              <w:t>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796F99">
        <w:trPr>
          <w:cantSplit/>
          <w:trHeight w:val="235"/>
          <w:tblHeader/>
        </w:trPr>
        <w:tc>
          <w:tcPr>
            <w:tcW w:w="219" w:type="pct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2353" w:type="pct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533" w:type="pct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895" w:type="pct"/>
            <w:gridSpan w:val="3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796F99">
        <w:trPr>
          <w:cantSplit/>
          <w:trHeight w:val="1091"/>
          <w:tblHeader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33" w:type="pct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3886" w:type="pct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273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2428" w:type="pct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624"/>
        </w:trPr>
        <w:tc>
          <w:tcPr>
            <w:tcW w:w="219" w:type="pct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86" w:type="pct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273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2428" w:type="pct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796F99">
        <w:trPr>
          <w:cantSplit/>
          <w:trHeight w:val="687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86" w:type="pct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273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2428" w:type="pct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796F99" w:rsidRPr="00AA54F4" w:rsidRDefault="00AA54F4" w:rsidP="00796F9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34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24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964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2428" w:type="pct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796F99">
        <w:trPr>
          <w:cantSplit/>
          <w:trHeight w:val="964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2428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737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796F99">
        <w:trPr>
          <w:cantSplit/>
          <w:trHeight w:val="85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242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796F99">
        <w:trPr>
          <w:cantSplit/>
          <w:trHeight w:val="850"/>
        </w:trPr>
        <w:tc>
          <w:tcPr>
            <w:tcW w:w="219" w:type="pct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242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AD3C1E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記錄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 w:rsidR="00B963DC"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="00AC7AF5" w:rsidRPr="00AA54F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sz w:val="28"/>
                <w:szCs w:val="28"/>
              </w:rPr>
              <w:t>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</w:t>
            </w:r>
            <w:r w:rsidR="00AC7AF5" w:rsidRPr="00AA54F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sz w:val="28"/>
                <w:szCs w:val="28"/>
              </w:rPr>
              <w:t>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185CC3">
        <w:trPr>
          <w:trHeight w:val="9625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F625D8" w:rsidRPr="006D25E4" w:rsidRDefault="00F625D8" w:rsidP="006D25E4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F625D8" w:rsidRDefault="00F625D8" w:rsidP="006D25E4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  <w:p w:rsidR="00185CC3" w:rsidRPr="006D25E4" w:rsidRDefault="00185CC3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F625D8" w:rsidRDefault="00F625D8" w:rsidP="00F625D8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:rsidR="00F625D8" w:rsidRPr="00D345E6" w:rsidRDefault="00F625D8" w:rsidP="00F625D8">
            <w:pPr>
              <w:widowControl/>
              <w:spacing w:beforeLines="50" w:before="120"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28" w:rsidRDefault="00EC7328" w:rsidP="00E8149F">
      <w:r>
        <w:separator/>
      </w:r>
    </w:p>
  </w:endnote>
  <w:endnote w:type="continuationSeparator" w:id="0">
    <w:p w:rsidR="00EC7328" w:rsidRDefault="00EC7328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B6" w:rsidRPr="00DE6BB6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28" w:rsidRDefault="00EC7328" w:rsidP="00E8149F">
      <w:r>
        <w:separator/>
      </w:r>
    </w:p>
  </w:footnote>
  <w:footnote w:type="continuationSeparator" w:id="0">
    <w:p w:rsidR="00EC7328" w:rsidRDefault="00EC7328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D20577A"/>
    <w:multiLevelType w:val="hybridMultilevel"/>
    <w:tmpl w:val="E416B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7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AF5C0B"/>
    <w:multiLevelType w:val="hybridMultilevel"/>
    <w:tmpl w:val="C5365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18"/>
  </w:num>
  <w:num w:numId="9">
    <w:abstractNumId w:val="27"/>
  </w:num>
  <w:num w:numId="10">
    <w:abstractNumId w:val="24"/>
  </w:num>
  <w:num w:numId="11">
    <w:abstractNumId w:val="8"/>
  </w:num>
  <w:num w:numId="12">
    <w:abstractNumId w:val="26"/>
  </w:num>
  <w:num w:numId="13">
    <w:abstractNumId w:val="15"/>
  </w:num>
  <w:num w:numId="14">
    <w:abstractNumId w:val="30"/>
  </w:num>
  <w:num w:numId="15">
    <w:abstractNumId w:val="20"/>
  </w:num>
  <w:num w:numId="16">
    <w:abstractNumId w:val="7"/>
  </w:num>
  <w:num w:numId="17">
    <w:abstractNumId w:val="13"/>
  </w:num>
  <w:num w:numId="18">
    <w:abstractNumId w:val="2"/>
  </w:num>
  <w:num w:numId="19">
    <w:abstractNumId w:val="0"/>
  </w:num>
  <w:num w:numId="20">
    <w:abstractNumId w:val="31"/>
  </w:num>
  <w:num w:numId="21">
    <w:abstractNumId w:val="19"/>
  </w:num>
  <w:num w:numId="22">
    <w:abstractNumId w:val="17"/>
  </w:num>
  <w:num w:numId="23">
    <w:abstractNumId w:val="5"/>
  </w:num>
  <w:num w:numId="24">
    <w:abstractNumId w:val="22"/>
  </w:num>
  <w:num w:numId="25">
    <w:abstractNumId w:val="14"/>
  </w:num>
  <w:num w:numId="26">
    <w:abstractNumId w:val="12"/>
  </w:num>
  <w:num w:numId="27">
    <w:abstractNumId w:val="28"/>
  </w:num>
  <w:num w:numId="28">
    <w:abstractNumId w:val="29"/>
  </w:num>
  <w:num w:numId="29">
    <w:abstractNumId w:val="9"/>
  </w:num>
  <w:num w:numId="30">
    <w:abstractNumId w:val="23"/>
  </w:num>
  <w:num w:numId="31">
    <w:abstractNumId w:val="32"/>
  </w:num>
  <w:num w:numId="32">
    <w:abstractNumId w:val="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85CC3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C3659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96F99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1786"/>
    <w:rsid w:val="00827CA4"/>
    <w:rsid w:val="00860505"/>
    <w:rsid w:val="00867726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AC7AF5"/>
    <w:rsid w:val="00AD3C1E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DE6BB6"/>
    <w:rsid w:val="00E00775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EC7328"/>
    <w:rsid w:val="00F120F5"/>
    <w:rsid w:val="00F20C1A"/>
    <w:rsid w:val="00F27AAD"/>
    <w:rsid w:val="00F312DE"/>
    <w:rsid w:val="00F31961"/>
    <w:rsid w:val="00F3207A"/>
    <w:rsid w:val="00F479E3"/>
    <w:rsid w:val="00F625D8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1EEE30-6207-4793-A7B9-B094D04A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4">
    <w:name w:val="表格格線4"/>
    <w:basedOn w:val="a1"/>
    <w:next w:val="a8"/>
    <w:uiPriority w:val="59"/>
    <w:rsid w:val="00DE6BB6"/>
    <w:pPr>
      <w:widowControl w:val="0"/>
    </w:pPr>
    <w:rPr>
      <w:rFonts w:ascii="Calibri" w:eastAsiaTheme="minorEastAsia" w:hAnsi="Calibri" w:cs="Calibr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DD11-8EFF-4F2E-A269-714CF436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6232</TotalTime>
  <Pages>10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</cp:lastModifiedBy>
  <cp:revision>15</cp:revision>
  <cp:lastPrinted>2019-08-15T03:59:00Z</cp:lastPrinted>
  <dcterms:created xsi:type="dcterms:W3CDTF">2017-11-02T06:28:00Z</dcterms:created>
  <dcterms:modified xsi:type="dcterms:W3CDTF">2019-08-15T03:59:00Z</dcterms:modified>
</cp:coreProperties>
</file>